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黑体" w:hAnsi="Times New Roman" w:eastAsia="黑体" w:cs="Times New Roman"/>
          <w:b/>
          <w:color w:val="000000"/>
          <w:sz w:val="44"/>
          <w:szCs w:val="44"/>
        </w:rPr>
      </w:pPr>
      <w:r>
        <w:rPr>
          <w:rFonts w:hint="eastAsia" w:ascii="黑体" w:hAnsi="Times New Roman" w:eastAsia="黑体" w:cs="宋体"/>
          <w:b/>
          <w:color w:val="000000"/>
          <w:sz w:val="44"/>
          <w:szCs w:val="44"/>
        </w:rPr>
        <w:t>晋江市市场监督管理局</w:t>
      </w:r>
    </w:p>
    <w:p>
      <w:pPr>
        <w:spacing w:line="640" w:lineRule="exact"/>
        <w:jc w:val="center"/>
        <w:rPr>
          <w:rFonts w:ascii="黑体" w:hAnsi="Times New Roman" w:eastAsia="黑体" w:cs="Times New Roman"/>
          <w:b/>
          <w:color w:val="000000"/>
          <w:sz w:val="44"/>
          <w:szCs w:val="44"/>
        </w:rPr>
      </w:pPr>
      <w:r>
        <w:rPr>
          <w:rFonts w:hint="eastAsia" w:ascii="黑体" w:hAnsi="Times New Roman" w:eastAsia="黑体" w:cs="宋体"/>
          <w:b/>
          <w:color w:val="000000"/>
          <w:sz w:val="44"/>
          <w:szCs w:val="44"/>
        </w:rPr>
        <w:t>行政处罚决定书</w:t>
      </w:r>
    </w:p>
    <w:p>
      <w:pPr>
        <w:wordWrap w:val="0"/>
        <w:snapToGrid w:val="0"/>
        <w:spacing w:beforeLines="100" w:afterLines="100" w:line="520" w:lineRule="exact"/>
        <w:jc w:val="center"/>
        <w:rPr>
          <w:rFonts w:ascii="仿宋" w:hAnsi="仿宋" w:eastAsia="仿宋" w:cs="Times New Roman"/>
          <w:sz w:val="32"/>
          <w:szCs w:val="32"/>
        </w:rPr>
      </w:pPr>
      <w:r>
        <w:rPr>
          <w:rFonts w:ascii="仿宋" w:hAnsi="仿宋" w:eastAsia="仿宋"/>
          <w:sz w:val="32"/>
          <w:szCs w:val="32"/>
        </w:rPr>
        <w:pict>
          <v:shape id="_x0000_s2050" o:spid="_x0000_s2050" o:spt="32" type="#_x0000_t32" style="position:absolute;left:0pt;margin-left:2pt;margin-top:1638pt;height:0.1pt;width:453.7pt;z-index:251660288;mso-width-relative:page;mso-height-relative:page;" filled="f" coordsize="21600,21600">
            <v:path arrowok="t"/>
            <v:fill on="f" focussize="0,0"/>
            <v:stroke weight="1.5pt" endcap="square"/>
            <v:imagedata o:title=""/>
            <o:lock v:ext="edit"/>
          </v:shape>
        </w:pict>
      </w:r>
      <w:r>
        <w:rPr>
          <w:rFonts w:hint="eastAsia" w:ascii="仿宋" w:hAnsi="仿宋" w:eastAsia="仿宋" w:cs="宋体"/>
          <w:sz w:val="32"/>
          <w:szCs w:val="32"/>
        </w:rPr>
        <w:t>晋市监处罚〔</w:t>
      </w: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4</w:t>
      </w:r>
      <w:r>
        <w:rPr>
          <w:rFonts w:hint="eastAsia" w:ascii="仿宋" w:hAnsi="仿宋" w:eastAsia="仿宋" w:cs="宋体"/>
          <w:sz w:val="32"/>
          <w:szCs w:val="32"/>
        </w:rPr>
        <w:t>〕</w:t>
      </w:r>
      <w:r>
        <w:rPr>
          <w:rFonts w:hint="eastAsia" w:ascii="仿宋" w:hAnsi="仿宋" w:eastAsia="仿宋" w:cs="仿宋_GB2312"/>
          <w:sz w:val="32"/>
          <w:szCs w:val="32"/>
        </w:rPr>
        <w:t>13-</w:t>
      </w:r>
      <w:r>
        <w:rPr>
          <w:rFonts w:hint="eastAsia" w:ascii="仿宋" w:hAnsi="仿宋" w:eastAsia="仿宋" w:cs="仿宋_GB2312"/>
          <w:sz w:val="32"/>
          <w:szCs w:val="32"/>
          <w:lang w:val="en-US" w:eastAsia="zh-CN"/>
        </w:rPr>
        <w:t>168</w:t>
      </w:r>
      <w:r>
        <w:rPr>
          <w:rFonts w:hint="eastAsia" w:ascii="仿宋" w:hAnsi="仿宋" w:eastAsia="仿宋" w:cs="宋体"/>
          <w:sz w:val="32"/>
          <w:szCs w:val="32"/>
        </w:rPr>
        <w:t>号</w:t>
      </w:r>
    </w:p>
    <w:p>
      <w:pPr>
        <w:spacing w:line="440" w:lineRule="exact"/>
        <w:rPr>
          <w:rFonts w:ascii="仿宋" w:hAnsi="仿宋" w:eastAsia="仿宋"/>
          <w:b/>
          <w:bCs/>
          <w:sz w:val="36"/>
          <w:szCs w:val="36"/>
        </w:rPr>
      </w:pPr>
      <w:r>
        <w:rPr>
          <w:rFonts w:hint="eastAsia" w:ascii="仿宋" w:hAnsi="仿宋" w:eastAsia="仿宋" w:cs="仿宋_GB2312"/>
          <w:kern w:val="1"/>
          <w:sz w:val="32"/>
          <w:szCs w:val="32"/>
        </w:rPr>
        <w:t>当</w:t>
      </w:r>
      <w:r>
        <w:rPr>
          <w:rFonts w:hint="eastAsia" w:ascii="仿宋" w:hAnsi="仿宋" w:eastAsia="仿宋" w:cs="仿宋_GB2312"/>
          <w:color w:val="000000"/>
          <w:sz w:val="32"/>
          <w:szCs w:val="32"/>
        </w:rPr>
        <w:t xml:space="preserve">事人：福建启燕食品有限公司                                           </w:t>
      </w:r>
    </w:p>
    <w:p>
      <w:pPr>
        <w:spacing w:line="440" w:lineRule="exact"/>
        <w:rPr>
          <w:rFonts w:ascii="仿宋" w:hAnsi="仿宋" w:eastAsia="仿宋" w:cs="仿宋_GB2312"/>
          <w:color w:val="000000"/>
          <w:sz w:val="32"/>
          <w:szCs w:val="32"/>
        </w:rPr>
      </w:pPr>
      <w:r>
        <w:rPr>
          <w:rFonts w:hint="eastAsia" w:ascii="仿宋" w:hAnsi="仿宋" w:eastAsia="仿宋" w:cs="仿宋_GB2312"/>
          <w:color w:val="000000"/>
          <w:sz w:val="32"/>
          <w:szCs w:val="32"/>
        </w:rPr>
        <w:t xml:space="preserve">主体资格证照名称：营业执照                               </w:t>
      </w:r>
    </w:p>
    <w:p>
      <w:pPr>
        <w:spacing w:line="440" w:lineRule="exact"/>
        <w:rPr>
          <w:rFonts w:ascii="仿宋" w:hAnsi="仿宋" w:eastAsia="仿宋" w:cs="仿宋_GB2312"/>
          <w:kern w:val="1"/>
          <w:sz w:val="32"/>
          <w:szCs w:val="32"/>
        </w:rPr>
      </w:pPr>
      <w:r>
        <w:rPr>
          <w:rFonts w:hint="eastAsia" w:ascii="仿宋" w:hAnsi="仿宋" w:eastAsia="仿宋" w:cs="仿宋_GB2312"/>
          <w:color w:val="000000"/>
          <w:sz w:val="32"/>
          <w:szCs w:val="32"/>
        </w:rPr>
        <w:t>统一社会信用代码：</w:t>
      </w:r>
      <w:r>
        <w:rPr>
          <w:rFonts w:ascii="仿宋" w:hAnsi="仿宋" w:eastAsia="仿宋" w:cs="仿宋_GB2312"/>
          <w:sz w:val="32"/>
          <w:szCs w:val="32"/>
        </w:rPr>
        <w:t>91350582MA347TC34</w:t>
      </w:r>
      <w:r>
        <w:rPr>
          <w:rFonts w:hint="eastAsia" w:ascii="仿宋" w:hAnsi="仿宋" w:eastAsia="仿宋" w:cs="仿宋_GB2312"/>
          <w:sz w:val="32"/>
          <w:szCs w:val="32"/>
          <w:lang w:val="en-US" w:eastAsia="zh-CN"/>
        </w:rPr>
        <w:t>L</w:t>
      </w:r>
      <w:r>
        <w:rPr>
          <w:rFonts w:hint="eastAsia" w:ascii="仿宋" w:hAnsi="仿宋" w:eastAsia="仿宋" w:cs="仿宋_GB2312"/>
          <w:kern w:val="1"/>
          <w:sz w:val="32"/>
          <w:szCs w:val="32"/>
        </w:rPr>
        <w:t xml:space="preserve">                   </w:t>
      </w:r>
    </w:p>
    <w:p>
      <w:pPr>
        <w:spacing w:line="440" w:lineRule="exact"/>
        <w:rPr>
          <w:rFonts w:ascii="仿宋" w:hAnsi="仿宋" w:eastAsia="仿宋" w:cs="仿宋_GB2312"/>
          <w:color w:val="000000"/>
          <w:sz w:val="32"/>
          <w:szCs w:val="32"/>
        </w:rPr>
      </w:pPr>
      <w:r>
        <w:rPr>
          <w:rFonts w:hint="eastAsia" w:ascii="仿宋" w:hAnsi="仿宋" w:eastAsia="仿宋" w:cs="仿宋_GB2312"/>
          <w:color w:val="000000"/>
          <w:sz w:val="32"/>
          <w:szCs w:val="32"/>
        </w:rPr>
        <w:t>住所：</w:t>
      </w:r>
      <w:r>
        <w:rPr>
          <w:rFonts w:hint="eastAsia" w:ascii="仿宋" w:hAnsi="仿宋" w:eastAsia="仿宋" w:cs="仿宋_GB2312"/>
          <w:sz w:val="32"/>
          <w:szCs w:val="32"/>
        </w:rPr>
        <w:t>晋江市内坑镇吕厝村蓬莱新村</w:t>
      </w:r>
      <w:r>
        <w:rPr>
          <w:rFonts w:hint="eastAsia" w:ascii="仿宋" w:hAnsi="仿宋" w:eastAsia="仿宋" w:cs="仿宋_GB2312"/>
          <w:color w:val="000000"/>
          <w:sz w:val="32"/>
          <w:szCs w:val="32"/>
        </w:rPr>
        <w:t xml:space="preserve">                                       </w:t>
      </w:r>
    </w:p>
    <w:p>
      <w:pPr>
        <w:spacing w:line="440" w:lineRule="exact"/>
        <w:rPr>
          <w:rFonts w:ascii="仿宋" w:hAnsi="仿宋" w:eastAsia="仿宋" w:cs="仿宋_GB2312"/>
          <w:sz w:val="32"/>
          <w:szCs w:val="32"/>
        </w:rPr>
      </w:pPr>
      <w:r>
        <w:rPr>
          <w:rFonts w:hint="eastAsia" w:ascii="仿宋" w:hAnsi="仿宋" w:eastAsia="仿宋" w:cs="仿宋_GB2312"/>
          <w:color w:val="000000"/>
          <w:sz w:val="32"/>
          <w:szCs w:val="32"/>
        </w:rPr>
        <w:t>法定代表人：</w:t>
      </w:r>
      <w:r>
        <w:rPr>
          <w:rFonts w:hint="eastAsia" w:ascii="仿宋" w:hAnsi="仿宋" w:eastAsia="仿宋" w:cs="仿宋_GB2312"/>
          <w:sz w:val="32"/>
          <w:szCs w:val="32"/>
        </w:rPr>
        <w:t>李永胜</w:t>
      </w:r>
      <w:r>
        <w:rPr>
          <w:rFonts w:hint="eastAsia" w:ascii="仿宋" w:hAnsi="仿宋" w:eastAsia="仿宋" w:cs="仿宋_GB2312"/>
          <w:color w:val="000000"/>
          <w:sz w:val="32"/>
          <w:szCs w:val="32"/>
        </w:rPr>
        <w:t xml:space="preserve">                                        </w:t>
      </w:r>
    </w:p>
    <w:p>
      <w:pPr>
        <w:spacing w:line="440" w:lineRule="exact"/>
        <w:rPr>
          <w:rFonts w:hint="eastAsia" w:ascii="仿宋" w:hAnsi="仿宋" w:eastAsia="仿宋" w:cs="仿宋_GB2312"/>
          <w:color w:val="000000"/>
          <w:sz w:val="32"/>
          <w:szCs w:val="32"/>
        </w:rPr>
      </w:pPr>
      <w:r>
        <w:rPr>
          <w:rFonts w:hint="eastAsia" w:ascii="仿宋" w:hAnsi="仿宋" w:eastAsia="仿宋" w:cs="仿宋_GB2312"/>
          <w:color w:val="000000"/>
          <w:sz w:val="32"/>
          <w:szCs w:val="32"/>
        </w:rPr>
        <w:t>身份证件号码：</w:t>
      </w:r>
      <w:r>
        <w:rPr>
          <w:rFonts w:hint="eastAsia" w:ascii="仿宋" w:hAnsi="仿宋" w:eastAsia="仿宋" w:cs="仿宋_GB2312"/>
          <w:color w:val="000000"/>
          <w:sz w:val="32"/>
          <w:szCs w:val="32"/>
          <w:lang w:val="en-US" w:eastAsia="zh-CN"/>
        </w:rPr>
        <w:t>*****</w:t>
      </w:r>
      <w:r>
        <w:rPr>
          <w:rFonts w:hint="eastAsia" w:ascii="仿宋" w:hAnsi="仿宋" w:eastAsia="仿宋" w:cs="仿宋_GB2312"/>
          <w:color w:val="000000"/>
          <w:sz w:val="32"/>
          <w:szCs w:val="32"/>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ascii="仿宋" w:hAnsi="仿宋" w:eastAsia="仿宋" w:cs="仿宋_GB2312"/>
          <w:sz w:val="32"/>
          <w:szCs w:val="32"/>
        </w:rPr>
      </w:pP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4</w:t>
      </w:r>
      <w:r>
        <w:rPr>
          <w:rFonts w:hint="eastAsia" w:ascii="仿宋" w:hAnsi="仿宋" w:eastAsia="仿宋" w:cs="仿宋_GB2312"/>
          <w:sz w:val="32"/>
          <w:szCs w:val="32"/>
        </w:rPr>
        <w:t>年</w:t>
      </w:r>
      <w:r>
        <w:rPr>
          <w:rFonts w:hint="eastAsia" w:ascii="仿宋" w:hAnsi="仿宋" w:eastAsia="仿宋" w:cs="仿宋_GB2312"/>
          <w:sz w:val="32"/>
          <w:szCs w:val="32"/>
          <w:lang w:val="en-US" w:eastAsia="zh-CN"/>
        </w:rPr>
        <w:t>7</w:t>
      </w:r>
      <w:r>
        <w:rPr>
          <w:rFonts w:hint="eastAsia" w:ascii="仿宋" w:hAnsi="仿宋" w:eastAsia="仿宋" w:cs="仿宋_GB2312"/>
          <w:sz w:val="32"/>
          <w:szCs w:val="32"/>
        </w:rPr>
        <w:t>月</w:t>
      </w:r>
      <w:r>
        <w:rPr>
          <w:rFonts w:hint="eastAsia" w:ascii="仿宋" w:hAnsi="仿宋" w:eastAsia="仿宋" w:cs="仿宋_GB2312"/>
          <w:sz w:val="32"/>
          <w:szCs w:val="32"/>
          <w:lang w:val="en-US" w:eastAsia="zh-CN"/>
        </w:rPr>
        <w:t>30</w:t>
      </w:r>
      <w:r>
        <w:rPr>
          <w:rFonts w:hint="eastAsia" w:ascii="仿宋" w:hAnsi="仿宋" w:eastAsia="仿宋" w:cs="仿宋_GB2312"/>
          <w:sz w:val="32"/>
          <w:szCs w:val="32"/>
        </w:rPr>
        <w:t>日，</w:t>
      </w:r>
      <w:r>
        <w:rPr>
          <w:rFonts w:hint="eastAsia" w:ascii="仿宋" w:hAnsi="仿宋" w:eastAsia="仿宋" w:cs="仿宋_GB2312"/>
          <w:sz w:val="32"/>
          <w:szCs w:val="32"/>
          <w:lang w:eastAsia="zh-CN"/>
        </w:rPr>
        <w:t>本局</w:t>
      </w:r>
      <w:r>
        <w:rPr>
          <w:rFonts w:hint="eastAsia" w:ascii="仿宋" w:hAnsi="仿宋" w:eastAsia="仿宋" w:cs="仿宋_GB2312"/>
          <w:sz w:val="32"/>
          <w:szCs w:val="32"/>
        </w:rPr>
        <w:t>内坑所执法人员</w:t>
      </w:r>
      <w:r>
        <w:rPr>
          <w:rFonts w:hint="eastAsia" w:ascii="仿宋" w:hAnsi="仿宋" w:eastAsia="仿宋" w:cs="仿宋_GB2312"/>
          <w:sz w:val="32"/>
          <w:szCs w:val="32"/>
          <w:lang w:eastAsia="zh-CN"/>
        </w:rPr>
        <w:t>在日常检查中</w:t>
      </w:r>
      <w:r>
        <w:rPr>
          <w:rFonts w:hint="eastAsia" w:ascii="仿宋" w:hAnsi="仿宋" w:eastAsia="仿宋" w:cs="仿宋_GB2312"/>
          <w:sz w:val="32"/>
          <w:szCs w:val="32"/>
        </w:rPr>
        <w:t>，依法对位于晋江市内坑镇吕厝村蓬莱新村的福建启燕食品有限公司经营场所进行检查，</w:t>
      </w:r>
      <w:r>
        <w:rPr>
          <w:rFonts w:hint="eastAsia" w:ascii="仿宋" w:hAnsi="仿宋" w:eastAsia="仿宋" w:cs="仿宋_GB2312"/>
          <w:sz w:val="32"/>
          <w:szCs w:val="32"/>
          <w:lang w:eastAsia="zh-CN"/>
        </w:rPr>
        <w:t>执法人员现场随机抽取该公司</w:t>
      </w:r>
      <w:r>
        <w:rPr>
          <w:rFonts w:hint="eastAsia" w:ascii="仿宋" w:hAnsi="仿宋" w:eastAsia="仿宋" w:cs="仿宋_GB2312"/>
          <w:sz w:val="32"/>
          <w:szCs w:val="32"/>
          <w:lang w:val="en-US" w:eastAsia="zh-CN"/>
        </w:rPr>
        <w:t>2024年5月10日</w:t>
      </w:r>
      <w:r>
        <w:rPr>
          <w:rFonts w:hint="eastAsia" w:ascii="仿宋" w:hAnsi="仿宋" w:eastAsia="仿宋" w:cs="仿宋_GB2312"/>
          <w:sz w:val="32"/>
          <w:szCs w:val="32"/>
          <w:lang w:eastAsia="zh-CN"/>
        </w:rPr>
        <w:t>销售单，</w:t>
      </w:r>
      <w:r>
        <w:rPr>
          <w:rFonts w:hint="eastAsia" w:ascii="仿宋" w:hAnsi="仿宋" w:eastAsia="仿宋" w:cs="仿宋_GB2312"/>
          <w:sz w:val="32"/>
          <w:szCs w:val="32"/>
        </w:rPr>
        <w:t>现场打开福建省食品安全信息追溯系统平台，发现该公司</w:t>
      </w:r>
      <w:r>
        <w:rPr>
          <w:rFonts w:hint="eastAsia" w:ascii="仿宋" w:hAnsi="仿宋" w:eastAsia="仿宋" w:cs="仿宋_GB2312"/>
          <w:sz w:val="32"/>
          <w:szCs w:val="32"/>
          <w:lang w:eastAsia="zh-CN"/>
        </w:rPr>
        <w:t>无“冬虫夏草”单位</w:t>
      </w:r>
      <w:r>
        <w:rPr>
          <w:rFonts w:hint="eastAsia" w:ascii="仿宋" w:hAnsi="仿宋" w:eastAsia="仿宋" w:cs="仿宋_GB2312"/>
          <w:sz w:val="32"/>
          <w:szCs w:val="32"/>
          <w:lang w:val="en-US" w:eastAsia="zh-CN"/>
        </w:rPr>
        <w:t xml:space="preserve"> g、数量 50、批发价 70、合计3500”、</w:t>
      </w:r>
      <w:r>
        <w:rPr>
          <w:rFonts w:hint="eastAsia" w:ascii="仿宋" w:hAnsi="仿宋" w:eastAsia="仿宋" w:cs="仿宋_GB2312"/>
          <w:sz w:val="32"/>
          <w:szCs w:val="32"/>
          <w:lang w:eastAsia="zh-CN"/>
        </w:rPr>
        <w:t>“冬虫夏草”单位</w:t>
      </w:r>
      <w:r>
        <w:rPr>
          <w:rFonts w:hint="eastAsia" w:ascii="仿宋" w:hAnsi="仿宋" w:eastAsia="仿宋" w:cs="仿宋_GB2312"/>
          <w:sz w:val="32"/>
          <w:szCs w:val="32"/>
          <w:lang w:val="en-US" w:eastAsia="zh-CN"/>
        </w:rPr>
        <w:t xml:space="preserve"> g、数量 50、批发价 160、合计8000”</w:t>
      </w:r>
      <w:r>
        <w:rPr>
          <w:rFonts w:hint="eastAsia" w:ascii="仿宋" w:hAnsi="仿宋" w:eastAsia="仿宋" w:cs="仿宋_GB2312"/>
          <w:sz w:val="32"/>
          <w:szCs w:val="32"/>
        </w:rPr>
        <w:t>的录入记录，其行为涉嫌未按规定及时上传食品安全追溯信息，经报</w:t>
      </w:r>
      <w:r>
        <w:rPr>
          <w:rFonts w:hint="eastAsia" w:ascii="仿宋" w:hAnsi="仿宋" w:eastAsia="仿宋" w:cs="仿宋_GB2312"/>
          <w:sz w:val="32"/>
          <w:szCs w:val="32"/>
          <w:lang w:eastAsia="zh-CN"/>
        </w:rPr>
        <w:t>局</w:t>
      </w:r>
      <w:r>
        <w:rPr>
          <w:rFonts w:hint="eastAsia" w:ascii="仿宋" w:hAnsi="仿宋" w:eastAsia="仿宋" w:cs="仿宋_GB2312"/>
          <w:sz w:val="32"/>
          <w:szCs w:val="32"/>
        </w:rPr>
        <w:t>领导批准</w:t>
      </w:r>
      <w:r>
        <w:rPr>
          <w:rFonts w:hint="eastAsia" w:ascii="仿宋" w:hAnsi="仿宋" w:eastAsia="仿宋" w:cs="仿宋_GB2312"/>
          <w:sz w:val="32"/>
          <w:szCs w:val="32"/>
          <w:lang w:eastAsia="zh-CN"/>
        </w:rPr>
        <w:t>，本局于</w:t>
      </w:r>
      <w:r>
        <w:rPr>
          <w:rFonts w:hint="eastAsia" w:ascii="仿宋" w:hAnsi="仿宋" w:eastAsia="仿宋" w:cs="仿宋_GB2312"/>
          <w:sz w:val="32"/>
          <w:szCs w:val="32"/>
          <w:lang w:val="en-US" w:eastAsia="zh-CN"/>
        </w:rPr>
        <w:t>2024年7月30日</w:t>
      </w:r>
      <w:r>
        <w:rPr>
          <w:rFonts w:hint="eastAsia" w:ascii="仿宋" w:hAnsi="仿宋" w:eastAsia="仿宋" w:cs="仿宋_GB2312"/>
          <w:sz w:val="32"/>
          <w:szCs w:val="32"/>
        </w:rPr>
        <w:t>予以立案调查。</w:t>
      </w:r>
      <w:r>
        <w:rPr>
          <w:rFonts w:hint="eastAsia" w:ascii="仿宋" w:hAnsi="仿宋" w:eastAsia="仿宋" w:cs="仿宋_GB2312"/>
          <w:color w:val="000000"/>
          <w:sz w:val="32"/>
          <w:szCs w:val="32"/>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ascii="仿宋" w:hAnsi="仿宋" w:eastAsia="仿宋" w:cs="仿宋_GB2312"/>
          <w:sz w:val="32"/>
          <w:szCs w:val="32"/>
        </w:rPr>
      </w:pPr>
      <w:r>
        <w:rPr>
          <w:rFonts w:hint="eastAsia" w:ascii="仿宋" w:hAnsi="仿宋" w:eastAsia="仿宋" w:cs="仿宋_GB2312"/>
          <w:color w:val="000000"/>
          <w:sz w:val="32"/>
          <w:szCs w:val="32"/>
        </w:rPr>
        <w:t>经查，</w:t>
      </w:r>
      <w:r>
        <w:rPr>
          <w:rFonts w:hint="eastAsia" w:ascii="仿宋" w:hAnsi="仿宋" w:eastAsia="仿宋" w:cs="仿宋_GB2312"/>
          <w:sz w:val="32"/>
          <w:szCs w:val="32"/>
        </w:rPr>
        <w:t>当事人持有合法有效的营业执照和食品生产许可证从事生产。</w:t>
      </w:r>
      <w:r>
        <w:rPr>
          <w:rFonts w:hint="eastAsia" w:ascii="仿宋" w:hAnsi="仿宋" w:eastAsia="仿宋" w:cs="仿宋_GB2312"/>
          <w:sz w:val="32"/>
          <w:szCs w:val="32"/>
          <w:lang w:eastAsia="zh-CN"/>
        </w:rPr>
        <w:t>本局</w:t>
      </w:r>
      <w:r>
        <w:rPr>
          <w:rFonts w:hint="eastAsia" w:ascii="仿宋" w:hAnsi="仿宋" w:eastAsia="仿宋" w:cs="仿宋_GB2312"/>
          <w:sz w:val="32"/>
          <w:szCs w:val="32"/>
        </w:rPr>
        <w:t>内坑所执法人员</w:t>
      </w:r>
      <w:r>
        <w:rPr>
          <w:rFonts w:hint="eastAsia" w:ascii="仿宋" w:hAnsi="仿宋" w:eastAsia="仿宋" w:cs="仿宋_GB2312"/>
          <w:sz w:val="32"/>
          <w:szCs w:val="32"/>
          <w:lang w:eastAsia="zh-CN"/>
        </w:rPr>
        <w:t>在日常检查中</w:t>
      </w:r>
      <w:r>
        <w:rPr>
          <w:rFonts w:hint="eastAsia" w:ascii="仿宋" w:hAnsi="仿宋" w:eastAsia="仿宋" w:cs="仿宋_GB2312"/>
          <w:sz w:val="32"/>
          <w:szCs w:val="32"/>
        </w:rPr>
        <w:t>，依法对当事人福建启燕食品有限公司经营场所进</w:t>
      </w:r>
      <w:bookmarkStart w:id="0" w:name="_GoBack"/>
      <w:bookmarkEnd w:id="0"/>
      <w:r>
        <w:rPr>
          <w:rFonts w:hint="eastAsia" w:ascii="仿宋" w:hAnsi="仿宋" w:eastAsia="仿宋" w:cs="仿宋_GB2312"/>
          <w:sz w:val="32"/>
          <w:szCs w:val="32"/>
        </w:rPr>
        <w:t>行检查，</w:t>
      </w:r>
      <w:r>
        <w:rPr>
          <w:rFonts w:hint="eastAsia" w:ascii="仿宋" w:hAnsi="仿宋" w:eastAsia="仿宋" w:cs="仿宋_GB2312"/>
          <w:sz w:val="32"/>
          <w:szCs w:val="32"/>
          <w:lang w:eastAsia="zh-CN"/>
        </w:rPr>
        <w:t>执法人员现场随机抽取该公司</w:t>
      </w:r>
      <w:r>
        <w:rPr>
          <w:rFonts w:hint="eastAsia" w:ascii="仿宋" w:hAnsi="仿宋" w:eastAsia="仿宋" w:cs="仿宋_GB2312"/>
          <w:sz w:val="32"/>
          <w:szCs w:val="32"/>
          <w:lang w:val="en-US" w:eastAsia="zh-CN"/>
        </w:rPr>
        <w:t>2024年5月10日</w:t>
      </w:r>
      <w:r>
        <w:rPr>
          <w:rFonts w:hint="eastAsia" w:ascii="仿宋" w:hAnsi="仿宋" w:eastAsia="仿宋" w:cs="仿宋_GB2312"/>
          <w:sz w:val="32"/>
          <w:szCs w:val="32"/>
          <w:lang w:eastAsia="zh-CN"/>
        </w:rPr>
        <w:t>销售单，</w:t>
      </w:r>
      <w:r>
        <w:rPr>
          <w:rFonts w:hint="eastAsia" w:ascii="仿宋" w:hAnsi="仿宋" w:eastAsia="仿宋" w:cs="仿宋_GB2312"/>
          <w:sz w:val="32"/>
          <w:szCs w:val="32"/>
        </w:rPr>
        <w:t>现场打开福建省食品安全信息追溯系统平台，发现该公司</w:t>
      </w:r>
      <w:r>
        <w:rPr>
          <w:rFonts w:hint="eastAsia" w:ascii="仿宋" w:hAnsi="仿宋" w:eastAsia="仿宋" w:cs="仿宋_GB2312"/>
          <w:sz w:val="32"/>
          <w:szCs w:val="32"/>
          <w:lang w:eastAsia="zh-CN"/>
        </w:rPr>
        <w:t>无“冬虫夏草”单位</w:t>
      </w:r>
      <w:r>
        <w:rPr>
          <w:rFonts w:hint="eastAsia" w:ascii="仿宋" w:hAnsi="仿宋" w:eastAsia="仿宋" w:cs="仿宋_GB2312"/>
          <w:sz w:val="32"/>
          <w:szCs w:val="32"/>
          <w:lang w:val="en-US" w:eastAsia="zh-CN"/>
        </w:rPr>
        <w:t xml:space="preserve"> g、数量 50、批发价 70、合计3500”、</w:t>
      </w:r>
      <w:r>
        <w:rPr>
          <w:rFonts w:hint="eastAsia" w:ascii="仿宋" w:hAnsi="仿宋" w:eastAsia="仿宋" w:cs="仿宋_GB2312"/>
          <w:sz w:val="32"/>
          <w:szCs w:val="32"/>
          <w:lang w:eastAsia="zh-CN"/>
        </w:rPr>
        <w:t>“冬虫夏草”单位</w:t>
      </w:r>
      <w:r>
        <w:rPr>
          <w:rFonts w:hint="eastAsia" w:ascii="仿宋" w:hAnsi="仿宋" w:eastAsia="仿宋" w:cs="仿宋_GB2312"/>
          <w:sz w:val="32"/>
          <w:szCs w:val="32"/>
          <w:lang w:val="en-US" w:eastAsia="zh-CN"/>
        </w:rPr>
        <w:t xml:space="preserve"> g、数量 50、批发价 160、合计8000”</w:t>
      </w:r>
      <w:r>
        <w:rPr>
          <w:rFonts w:hint="eastAsia" w:ascii="仿宋" w:hAnsi="仿宋" w:eastAsia="仿宋" w:cs="仿宋_GB2312"/>
          <w:sz w:val="32"/>
          <w:szCs w:val="32"/>
        </w:rPr>
        <w:t>的录入记录。其行为涉嫌未按规定及时上传食品安全追溯信息。</w:t>
      </w:r>
      <w:r>
        <w:rPr>
          <w:rFonts w:hint="eastAsia" w:ascii="仿宋" w:hAnsi="仿宋" w:eastAsia="仿宋" w:cs="仿宋_GB2312"/>
          <w:color w:val="000000"/>
          <w:sz w:val="32"/>
          <w:szCs w:val="32"/>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ascii="仿宋" w:hAnsi="仿宋" w:eastAsia="仿宋" w:cs="仿宋_GB2312"/>
          <w:color w:val="000000"/>
          <w:sz w:val="32"/>
          <w:szCs w:val="32"/>
        </w:rPr>
      </w:pPr>
      <w:r>
        <w:rPr>
          <w:rFonts w:hint="eastAsia" w:ascii="仿宋" w:hAnsi="仿宋" w:eastAsia="仿宋" w:cs="仿宋_GB2312"/>
          <w:color w:val="000000"/>
          <w:sz w:val="32"/>
          <w:szCs w:val="32"/>
        </w:rPr>
        <w:t>上述事实，主要有以下证据证明：</w:t>
      </w:r>
      <w:r>
        <w:rPr>
          <w:rFonts w:hint="eastAsia" w:ascii="仿宋" w:hAnsi="仿宋" w:eastAsia="仿宋" w:cs="仿宋_GB2312"/>
          <w:sz w:val="32"/>
          <w:szCs w:val="32"/>
        </w:rPr>
        <w:t>现场检查笔录、提存笔录、</w:t>
      </w:r>
      <w:r>
        <w:rPr>
          <w:rFonts w:hint="eastAsia" w:ascii="仿宋" w:hAnsi="仿宋" w:eastAsia="仿宋" w:cs="黑体"/>
          <w:sz w:val="32"/>
          <w:szCs w:val="32"/>
        </w:rPr>
        <w:t>询问笔录、营业执照（复印件）、食品生产许可证（复印件）</w:t>
      </w:r>
      <w:r>
        <w:rPr>
          <w:rFonts w:hint="eastAsia" w:ascii="仿宋" w:hAnsi="仿宋" w:eastAsia="仿宋" w:cs="仿宋_GB2312"/>
          <w:sz w:val="32"/>
          <w:szCs w:val="32"/>
        </w:rPr>
        <w:t>、法定代表人身份证（复印件）</w:t>
      </w:r>
      <w:r>
        <w:rPr>
          <w:rFonts w:hint="eastAsia" w:ascii="仿宋" w:hAnsi="仿宋" w:eastAsia="仿宋" w:cs="黑体"/>
          <w:sz w:val="32"/>
          <w:szCs w:val="32"/>
        </w:rPr>
        <w:t>、</w:t>
      </w:r>
      <w:r>
        <w:rPr>
          <w:rFonts w:hint="eastAsia" w:ascii="仿宋" w:hAnsi="仿宋" w:eastAsia="仿宋" w:cs="仿宋_GB2312"/>
          <w:sz w:val="32"/>
          <w:szCs w:val="32"/>
        </w:rPr>
        <w:t>现场照片</w:t>
      </w:r>
      <w:r>
        <w:rPr>
          <w:rFonts w:hint="eastAsia" w:ascii="仿宋" w:hAnsi="仿宋" w:eastAsia="仿宋" w:cs="仿宋_GB2312"/>
          <w:color w:val="000000"/>
          <w:sz w:val="32"/>
          <w:szCs w:val="32"/>
        </w:rPr>
        <w:t xml:space="preserve">等证据证实。                                              </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ascii="仿宋" w:hAnsi="仿宋" w:eastAsia="仿宋" w:cs="仿宋_GB2312"/>
          <w:sz w:val="32"/>
          <w:szCs w:val="32"/>
        </w:rPr>
      </w:pP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4</w:t>
      </w:r>
      <w:r>
        <w:rPr>
          <w:rFonts w:hint="eastAsia" w:ascii="仿宋" w:hAnsi="仿宋" w:eastAsia="仿宋" w:cs="仿宋_GB2312"/>
          <w:sz w:val="32"/>
          <w:szCs w:val="32"/>
        </w:rPr>
        <w:t>年</w:t>
      </w:r>
      <w:r>
        <w:rPr>
          <w:rFonts w:hint="eastAsia" w:ascii="仿宋" w:hAnsi="仿宋" w:eastAsia="仿宋" w:cs="仿宋_GB2312"/>
          <w:sz w:val="32"/>
          <w:szCs w:val="32"/>
          <w:lang w:val="en-US" w:eastAsia="zh-CN"/>
        </w:rPr>
        <w:t>8</w:t>
      </w:r>
      <w:r>
        <w:rPr>
          <w:rFonts w:hint="eastAsia" w:ascii="仿宋" w:hAnsi="仿宋" w:eastAsia="仿宋" w:cs="仿宋_GB2312"/>
          <w:sz w:val="32"/>
          <w:szCs w:val="32"/>
        </w:rPr>
        <w:t>月</w:t>
      </w:r>
      <w:r>
        <w:rPr>
          <w:rFonts w:hint="eastAsia" w:ascii="仿宋" w:hAnsi="仿宋" w:eastAsia="仿宋" w:cs="仿宋_GB2312"/>
          <w:sz w:val="32"/>
          <w:szCs w:val="32"/>
          <w:lang w:val="en-US" w:eastAsia="zh-CN"/>
        </w:rPr>
        <w:t>15</w:t>
      </w:r>
      <w:r>
        <w:rPr>
          <w:rFonts w:hint="eastAsia" w:ascii="仿宋" w:hAnsi="仿宋" w:eastAsia="仿宋" w:cs="仿宋_GB2312"/>
          <w:sz w:val="32"/>
          <w:szCs w:val="32"/>
        </w:rPr>
        <w:t>日，本局向当事人送达了《行政处罚告知书》(晋市监罚告 [202</w:t>
      </w:r>
      <w:r>
        <w:rPr>
          <w:rFonts w:hint="eastAsia" w:ascii="仿宋" w:hAnsi="仿宋" w:eastAsia="仿宋" w:cs="仿宋_GB2312"/>
          <w:sz w:val="32"/>
          <w:szCs w:val="32"/>
          <w:lang w:val="en-US" w:eastAsia="zh-CN"/>
        </w:rPr>
        <w:t>4</w:t>
      </w:r>
      <w:r>
        <w:rPr>
          <w:rFonts w:hint="eastAsia" w:ascii="仿宋" w:hAnsi="仿宋" w:eastAsia="仿宋" w:cs="仿宋_GB2312"/>
          <w:sz w:val="32"/>
          <w:szCs w:val="32"/>
        </w:rPr>
        <w:t>]13-1</w:t>
      </w:r>
      <w:r>
        <w:rPr>
          <w:rFonts w:hint="eastAsia" w:ascii="仿宋" w:hAnsi="仿宋" w:eastAsia="仿宋" w:cs="仿宋_GB2312"/>
          <w:sz w:val="32"/>
          <w:szCs w:val="32"/>
          <w:lang w:val="en-US" w:eastAsia="zh-CN"/>
        </w:rPr>
        <w:t>68</w:t>
      </w:r>
      <w:r>
        <w:rPr>
          <w:rFonts w:hint="eastAsia" w:ascii="仿宋" w:hAnsi="仿宋" w:eastAsia="仿宋" w:cs="仿宋_GB2312"/>
          <w:sz w:val="32"/>
          <w:szCs w:val="32"/>
        </w:rPr>
        <w:t xml:space="preserve">号)，当事人在法定期限内未提出陈述或申辩意见。                     </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_GB2312"/>
          <w:sz w:val="32"/>
          <w:szCs w:val="32"/>
        </w:rPr>
      </w:pPr>
      <w:r>
        <w:rPr>
          <w:rFonts w:hint="eastAsia" w:ascii="仿宋" w:hAnsi="仿宋" w:eastAsia="仿宋" w:cs="仿宋_GB2312"/>
          <w:color w:val="000000"/>
          <w:sz w:val="32"/>
          <w:szCs w:val="32"/>
        </w:rPr>
        <w:t>本局认为，</w:t>
      </w:r>
      <w:r>
        <w:rPr>
          <w:rFonts w:hint="eastAsia" w:ascii="仿宋" w:hAnsi="仿宋" w:eastAsia="仿宋" w:cs="仿宋_GB2312"/>
          <w:sz w:val="32"/>
          <w:szCs w:val="32"/>
        </w:rPr>
        <w:t>当事人未按规定及时上传食品安全追溯信息行为的行为违反了《福建省食品安全信息追溯管理办法》第二十四条、《福建省食品安全条例》第二十条第二款的规定。</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 w:hAnsi="Times New Roman" w:eastAsia="仿宋" w:cs="仿宋"/>
          <w:sz w:val="32"/>
          <w:szCs w:val="32"/>
          <w:lang w:val="en-US" w:eastAsia="zh-CN"/>
        </w:rPr>
      </w:pP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3</w:t>
      </w:r>
      <w:r>
        <w:rPr>
          <w:rFonts w:hint="eastAsia" w:ascii="仿宋" w:hAnsi="仿宋" w:eastAsia="仿宋" w:cs="仿宋_GB2312"/>
          <w:sz w:val="32"/>
          <w:szCs w:val="32"/>
        </w:rPr>
        <w:t>年</w:t>
      </w:r>
      <w:r>
        <w:rPr>
          <w:rFonts w:hint="eastAsia" w:ascii="仿宋" w:hAnsi="仿宋" w:eastAsia="仿宋" w:cs="仿宋_GB2312"/>
          <w:sz w:val="32"/>
          <w:szCs w:val="32"/>
          <w:lang w:val="en-US" w:eastAsia="zh-CN"/>
        </w:rPr>
        <w:t>12</w:t>
      </w:r>
      <w:r>
        <w:rPr>
          <w:rFonts w:hint="eastAsia" w:ascii="仿宋" w:hAnsi="仿宋" w:eastAsia="仿宋" w:cs="仿宋_GB2312"/>
          <w:sz w:val="32"/>
          <w:szCs w:val="32"/>
        </w:rPr>
        <w:t>月</w:t>
      </w:r>
      <w:r>
        <w:rPr>
          <w:rFonts w:hint="eastAsia" w:ascii="仿宋" w:hAnsi="仿宋" w:eastAsia="仿宋" w:cs="仿宋_GB2312"/>
          <w:sz w:val="32"/>
          <w:szCs w:val="32"/>
          <w:lang w:val="en-US" w:eastAsia="zh-CN"/>
        </w:rPr>
        <w:t>7</w:t>
      </w:r>
      <w:r>
        <w:rPr>
          <w:rFonts w:hint="eastAsia" w:ascii="仿宋" w:hAnsi="仿宋" w:eastAsia="仿宋" w:cs="仿宋_GB2312"/>
          <w:sz w:val="32"/>
          <w:szCs w:val="32"/>
        </w:rPr>
        <w:t>日，当事人因</w:t>
      </w:r>
      <w:r>
        <w:rPr>
          <w:rFonts w:hint="eastAsia" w:ascii="仿宋" w:eastAsia="仿宋" w:cs="仿宋"/>
          <w:sz w:val="32"/>
          <w:szCs w:val="32"/>
          <w:lang w:val="en-US" w:eastAsia="zh-CN"/>
        </w:rPr>
        <w:t>未按</w:t>
      </w:r>
      <w:r>
        <w:rPr>
          <w:rFonts w:hint="eastAsia" w:ascii="仿宋" w:hAnsi="仿宋" w:eastAsia="仿宋" w:cs="仿宋_GB2312"/>
          <w:sz w:val="32"/>
          <w:szCs w:val="32"/>
        </w:rPr>
        <w:t>规定及时上传食品安全追溯信息</w:t>
      </w:r>
      <w:r>
        <w:rPr>
          <w:rFonts w:hint="eastAsia" w:ascii="仿宋" w:eastAsia="仿宋" w:cs="仿宋"/>
          <w:sz w:val="32"/>
          <w:szCs w:val="32"/>
          <w:lang w:val="en-US" w:eastAsia="zh-CN"/>
        </w:rPr>
        <w:t>，被本局作出行政处罚（晋市监处罚[2023]13-152号），当事人一年内因同一性质的违法行为受过行政处罚的，具有《福建省市场监督管理行政处罚裁量权适用规则》第十三条第一款第三项规定的从重处罚情节。鉴于当事人积极配合调查，如实陈述违法事实并主动提供证据材料的，违法行为轻微，社会危害性较小，符合《福建省市场监督管理行政处罚裁量权适用规则》第十一条第二、三项规定的从轻情节。鉴于当事人同时具有从</w:t>
      </w:r>
      <w:r>
        <w:rPr>
          <w:rFonts w:hint="eastAsia" w:ascii="仿宋" w:hAnsi="Times New Roman" w:eastAsia="仿宋" w:cs="仿宋"/>
          <w:sz w:val="32"/>
          <w:szCs w:val="32"/>
          <w:lang w:val="en-US" w:eastAsia="zh-CN"/>
        </w:rPr>
        <w:t>重从轻处罚情节的，建议按一般情节予以量罚。</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 w:hAnsi="Times New Roman" w:eastAsia="仿宋" w:cs="仿宋"/>
          <w:sz w:val="32"/>
          <w:szCs w:val="32"/>
          <w:lang w:val="en-US" w:eastAsia="zh-CN"/>
        </w:rPr>
      </w:pPr>
      <w:r>
        <w:rPr>
          <w:rFonts w:hint="eastAsia" w:ascii="仿宋" w:hAnsi="Times New Roman" w:eastAsia="仿宋" w:cs="仿宋"/>
          <w:sz w:val="32"/>
          <w:szCs w:val="32"/>
          <w:lang w:val="en-US" w:eastAsia="zh-CN"/>
        </w:rPr>
        <w:t xml:space="preserve">综上，依据《福建省食品安全信息追溯管理办法》第三十条、《福建省食品安全条例》第九十八条第三项规定，本局责令当事人改正未按规定及时上传食品安全追溯信息的行为，并决定处罚如下：对当事人处以罚款2500元。  </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 w:hAnsi="Times New Roman" w:eastAsia="仿宋" w:cs="仿宋"/>
          <w:sz w:val="32"/>
          <w:szCs w:val="32"/>
          <w:lang w:val="en-US" w:eastAsia="zh-CN"/>
        </w:rPr>
      </w:pPr>
      <w:r>
        <w:rPr>
          <w:rFonts w:hint="eastAsia" w:ascii="仿宋" w:hAnsi="Times New Roman" w:eastAsia="仿宋" w:cs="仿宋"/>
          <w:sz w:val="32"/>
          <w:szCs w:val="32"/>
          <w:lang w:val="en-US" w:eastAsia="zh-CN"/>
        </w:rPr>
        <w:t xml:space="preserve">当事人应当自接到行政处罚决定书之日起十五日内，持福建省政府非税收入缴款通知书（缴款码）通过银行网点或电子支付缴款。当事人逾期不履行行政处罚决定的，本局将依据《中华人民共和国行政处罚法》第七十二条第一款的规定，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                                               </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color w:val="000000"/>
          <w:sz w:val="32"/>
          <w:szCs w:val="32"/>
        </w:rPr>
      </w:pPr>
      <w:r>
        <w:rPr>
          <w:rFonts w:hint="eastAsia" w:ascii="仿宋" w:hAnsi="Times New Roman" w:eastAsia="仿宋" w:cs="仿宋"/>
          <w:sz w:val="32"/>
          <w:szCs w:val="32"/>
          <w:lang w:val="en-US" w:eastAsia="zh-CN"/>
        </w:rPr>
        <w:t>如不服本行政处罚决定，可以在收到本处罚决定书之日起60日内向晋江市人民政府申请行政复议，也可以在6个月内依法向泉州市洛江区人民法院提起行政诉讼。当事人对行政处罚</w:t>
      </w:r>
      <w:r>
        <w:rPr>
          <w:rFonts w:hint="eastAsia" w:ascii="仿宋" w:hAnsi="仿宋" w:eastAsia="仿宋" w:cs="仿宋"/>
          <w:color w:val="000000"/>
          <w:sz w:val="32"/>
          <w:szCs w:val="32"/>
        </w:rPr>
        <w:t>决定不服而申请行政行政复议或提起行政诉讼的，行政处罚不停止执行，法律、法规、规章另有规定的，从其规定。</w:t>
      </w:r>
    </w:p>
    <w:p>
      <w:pPr>
        <w:tabs>
          <w:tab w:val="left" w:pos="6870"/>
        </w:tabs>
        <w:spacing w:line="360" w:lineRule="exact"/>
        <w:ind w:firstLine="640" w:firstLineChars="200"/>
        <w:rPr>
          <w:rFonts w:ascii="仿宋" w:hAnsi="仿宋" w:eastAsia="仿宋" w:cs="仿宋_GB2312"/>
          <w:color w:val="000000"/>
          <w:sz w:val="32"/>
          <w:szCs w:val="32"/>
        </w:rPr>
      </w:pPr>
      <w:r>
        <w:rPr>
          <w:rFonts w:ascii="仿宋" w:hAnsi="仿宋" w:eastAsia="仿宋" w:cs="仿宋_GB2312"/>
          <w:color w:val="000000"/>
          <w:sz w:val="32"/>
          <w:szCs w:val="32"/>
        </w:rPr>
        <w:t xml:space="preserve"> </w:t>
      </w:r>
    </w:p>
    <w:p>
      <w:pPr>
        <w:tabs>
          <w:tab w:val="left" w:pos="6870"/>
        </w:tabs>
        <w:spacing w:line="360" w:lineRule="exact"/>
        <w:ind w:firstLine="640" w:firstLineChars="200"/>
        <w:rPr>
          <w:rFonts w:ascii="仿宋" w:hAnsi="仿宋" w:eastAsia="仿宋" w:cs="仿宋_GB2312"/>
          <w:color w:val="000000"/>
          <w:sz w:val="32"/>
          <w:szCs w:val="32"/>
        </w:rPr>
      </w:pPr>
      <w:r>
        <w:rPr>
          <w:rFonts w:ascii="仿宋" w:hAnsi="仿宋" w:eastAsia="仿宋" w:cs="仿宋_GB2312"/>
          <w:color w:val="000000"/>
          <w:sz w:val="32"/>
          <w:szCs w:val="32"/>
        </w:rPr>
        <w:tab/>
      </w:r>
    </w:p>
    <w:p>
      <w:pPr>
        <w:spacing w:line="400" w:lineRule="exact"/>
        <w:ind w:firstLine="601"/>
        <w:jc w:val="center"/>
        <w:rPr>
          <w:rFonts w:ascii="仿宋" w:hAnsi="仿宋" w:eastAsia="仿宋" w:cs="仿宋_GB2312"/>
          <w:color w:val="000000"/>
          <w:sz w:val="32"/>
          <w:szCs w:val="32"/>
        </w:rPr>
      </w:pPr>
      <w:r>
        <w:rPr>
          <w:rFonts w:ascii="仿宋" w:hAnsi="仿宋" w:eastAsia="仿宋" w:cs="仿宋_GB2312"/>
          <w:color w:val="000000"/>
          <w:sz w:val="32"/>
          <w:szCs w:val="32"/>
        </w:rPr>
        <w:t xml:space="preserve">                         </w:t>
      </w:r>
    </w:p>
    <w:p>
      <w:pPr>
        <w:spacing w:line="400" w:lineRule="exact"/>
        <w:ind w:firstLine="601"/>
        <w:jc w:val="center"/>
        <w:rPr>
          <w:rFonts w:ascii="仿宋" w:hAnsi="仿宋" w:eastAsia="仿宋" w:cs="仿宋_GB2312"/>
          <w:color w:val="000000"/>
          <w:sz w:val="30"/>
          <w:szCs w:val="30"/>
        </w:rPr>
      </w:pPr>
      <w:r>
        <w:rPr>
          <w:rFonts w:ascii="仿宋" w:hAnsi="仿宋" w:eastAsia="仿宋" w:cs="仿宋_GB2312"/>
          <w:color w:val="000000"/>
          <w:sz w:val="32"/>
          <w:szCs w:val="32"/>
        </w:rPr>
        <w:t xml:space="preserve"> </w:t>
      </w:r>
      <w:r>
        <w:rPr>
          <w:rFonts w:ascii="仿宋" w:hAnsi="仿宋" w:eastAsia="仿宋" w:cs="仿宋_GB2312"/>
          <w:color w:val="000000"/>
          <w:sz w:val="30"/>
          <w:szCs w:val="30"/>
        </w:rPr>
        <w:t xml:space="preserve">                        </w:t>
      </w:r>
    </w:p>
    <w:p>
      <w:pPr>
        <w:spacing w:line="400" w:lineRule="exact"/>
        <w:ind w:firstLine="601"/>
        <w:jc w:val="right"/>
        <w:rPr>
          <w:rFonts w:ascii="仿宋" w:hAnsi="仿宋" w:eastAsia="仿宋" w:cs="Times New Roman"/>
          <w:color w:val="000000"/>
          <w:sz w:val="32"/>
          <w:szCs w:val="32"/>
        </w:rPr>
      </w:pPr>
      <w:r>
        <w:rPr>
          <w:rFonts w:hint="eastAsia" w:ascii="仿宋" w:hAnsi="仿宋" w:eastAsia="仿宋" w:cs="仿宋_GB2312"/>
          <w:color w:val="000000"/>
          <w:sz w:val="32"/>
          <w:szCs w:val="32"/>
        </w:rPr>
        <w:t>晋江市市场监督管理局</w:t>
      </w:r>
    </w:p>
    <w:p>
      <w:pPr>
        <w:spacing w:line="400" w:lineRule="exact"/>
        <w:ind w:right="640" w:firstLine="601"/>
        <w:jc w:val="center"/>
        <w:rPr>
          <w:rFonts w:ascii="仿宋" w:hAnsi="仿宋" w:eastAsia="仿宋" w:cs="Times New Roman"/>
          <w:color w:val="000000"/>
          <w:sz w:val="32"/>
          <w:szCs w:val="32"/>
        </w:rPr>
      </w:pPr>
      <w:r>
        <w:rPr>
          <w:rFonts w:ascii="仿宋" w:hAnsi="仿宋" w:eastAsia="仿宋" w:cs="仿宋_GB2312"/>
          <w:color w:val="000000"/>
          <w:sz w:val="32"/>
          <w:szCs w:val="32"/>
        </w:rPr>
        <w:t xml:space="preserve">                             </w:t>
      </w:r>
    </w:p>
    <w:p>
      <w:pPr>
        <w:spacing w:line="400" w:lineRule="exact"/>
        <w:ind w:right="-58" w:firstLine="600"/>
        <w:rPr>
          <w:rFonts w:ascii="仿宋" w:hAnsi="仿宋" w:eastAsia="仿宋" w:cs="仿宋_GB2312"/>
          <w:color w:val="000000"/>
          <w:sz w:val="30"/>
          <w:szCs w:val="30"/>
        </w:rPr>
      </w:pPr>
      <w:r>
        <w:rPr>
          <w:rFonts w:ascii="仿宋" w:hAnsi="仿宋" w:eastAsia="仿宋" w:cs="仿宋_GB2312"/>
          <w:color w:val="000000"/>
          <w:sz w:val="32"/>
          <w:szCs w:val="32"/>
        </w:rPr>
        <w:t xml:space="preserve">                           </w:t>
      </w:r>
      <w:r>
        <w:rPr>
          <w:rFonts w:ascii="仿宋" w:hAnsi="仿宋" w:eastAsia="仿宋" w:cs="仿宋_GB2312"/>
          <w:sz w:val="32"/>
          <w:szCs w:val="32"/>
        </w:rPr>
        <w:t xml:space="preserve"> </w:t>
      </w:r>
      <w:r>
        <w:rPr>
          <w:rFonts w:hint="eastAsia" w:ascii="仿宋" w:hAnsi="仿宋" w:eastAsia="仿宋" w:cs="仿宋_GB2312"/>
          <w:sz w:val="32"/>
          <w:szCs w:val="32"/>
        </w:rPr>
        <w:t xml:space="preserve">    202</w:t>
      </w:r>
      <w:r>
        <w:rPr>
          <w:rFonts w:hint="eastAsia" w:ascii="仿宋" w:hAnsi="仿宋" w:eastAsia="仿宋" w:cs="仿宋_GB2312"/>
          <w:sz w:val="32"/>
          <w:szCs w:val="32"/>
          <w:lang w:val="en-US" w:eastAsia="zh-CN"/>
        </w:rPr>
        <w:t>4</w:t>
      </w:r>
      <w:r>
        <w:rPr>
          <w:rFonts w:hint="eastAsia" w:ascii="仿宋" w:hAnsi="仿宋" w:eastAsia="仿宋" w:cs="仿宋_GB2312"/>
          <w:sz w:val="32"/>
          <w:szCs w:val="32"/>
        </w:rPr>
        <w:t>年</w:t>
      </w:r>
      <w:r>
        <w:rPr>
          <w:rFonts w:hint="eastAsia" w:ascii="仿宋" w:hAnsi="仿宋" w:eastAsia="仿宋" w:cs="仿宋_GB2312"/>
          <w:sz w:val="32"/>
          <w:szCs w:val="32"/>
          <w:lang w:val="en-US" w:eastAsia="zh-CN"/>
        </w:rPr>
        <w:t>8</w:t>
      </w:r>
      <w:r>
        <w:rPr>
          <w:rFonts w:hint="eastAsia" w:ascii="仿宋" w:hAnsi="仿宋" w:eastAsia="仿宋" w:cs="仿宋_GB2312"/>
          <w:sz w:val="32"/>
          <w:szCs w:val="32"/>
        </w:rPr>
        <w:t>月</w:t>
      </w:r>
      <w:r>
        <w:rPr>
          <w:rFonts w:hint="eastAsia" w:ascii="仿宋" w:hAnsi="仿宋" w:eastAsia="仿宋" w:cs="仿宋_GB2312"/>
          <w:sz w:val="32"/>
          <w:szCs w:val="32"/>
          <w:lang w:val="en-US" w:eastAsia="zh-CN"/>
        </w:rPr>
        <w:t>23</w:t>
      </w:r>
      <w:r>
        <w:rPr>
          <w:rFonts w:hint="eastAsia" w:ascii="仿宋" w:hAnsi="仿宋" w:eastAsia="仿宋" w:cs="仿宋_GB2312"/>
          <w:sz w:val="32"/>
          <w:szCs w:val="32"/>
        </w:rPr>
        <w:t>日</w:t>
      </w:r>
    </w:p>
    <w:p>
      <w:pPr>
        <w:spacing w:line="400" w:lineRule="exact"/>
        <w:ind w:right="640"/>
        <w:rPr>
          <w:rFonts w:ascii="仿宋" w:hAnsi="仿宋" w:eastAsia="仿宋" w:cs="仿宋_GB2312"/>
          <w:color w:val="000000"/>
          <w:sz w:val="30"/>
          <w:szCs w:val="30"/>
        </w:rPr>
      </w:pPr>
    </w:p>
    <w:p>
      <w:pPr>
        <w:snapToGrid w:val="0"/>
        <w:spacing w:line="400" w:lineRule="exact"/>
        <w:ind w:firstLine="640"/>
        <w:jc w:val="right"/>
        <w:rPr>
          <w:rFonts w:ascii="仿宋" w:hAnsi="仿宋" w:eastAsia="仿宋" w:cs="仿宋_GB2312"/>
          <w:sz w:val="32"/>
          <w:szCs w:val="32"/>
        </w:rPr>
      </w:pPr>
    </w:p>
    <w:p>
      <w:pPr>
        <w:snapToGrid w:val="0"/>
        <w:spacing w:line="400" w:lineRule="exact"/>
        <w:ind w:firstLine="640"/>
        <w:jc w:val="right"/>
        <w:rPr>
          <w:rFonts w:ascii="仿宋" w:hAnsi="仿宋" w:eastAsia="仿宋" w:cs="仿宋_GB2312"/>
          <w:sz w:val="32"/>
          <w:szCs w:val="32"/>
        </w:rPr>
      </w:pPr>
    </w:p>
    <w:p>
      <w:pPr>
        <w:snapToGrid w:val="0"/>
        <w:spacing w:line="400" w:lineRule="exact"/>
        <w:ind w:firstLine="640"/>
        <w:jc w:val="right"/>
        <w:rPr>
          <w:rFonts w:ascii="仿宋" w:hAnsi="仿宋" w:eastAsia="仿宋" w:cs="仿宋_GB2312"/>
          <w:sz w:val="32"/>
          <w:szCs w:val="32"/>
        </w:rPr>
      </w:pPr>
    </w:p>
    <w:p>
      <w:pPr>
        <w:snapToGrid w:val="0"/>
        <w:spacing w:line="400" w:lineRule="exact"/>
        <w:ind w:firstLine="640"/>
        <w:jc w:val="right"/>
        <w:rPr>
          <w:rFonts w:ascii="仿宋" w:hAnsi="仿宋" w:eastAsia="仿宋" w:cs="仿宋_GB2312"/>
          <w:sz w:val="32"/>
          <w:szCs w:val="32"/>
        </w:rPr>
      </w:pPr>
    </w:p>
    <w:p>
      <w:pPr>
        <w:snapToGrid w:val="0"/>
        <w:spacing w:line="400" w:lineRule="exact"/>
        <w:ind w:firstLine="640"/>
        <w:jc w:val="right"/>
        <w:rPr>
          <w:rFonts w:ascii="仿宋" w:hAnsi="仿宋" w:eastAsia="仿宋" w:cs="仿宋_GB2312"/>
          <w:sz w:val="32"/>
          <w:szCs w:val="32"/>
        </w:rPr>
      </w:pPr>
    </w:p>
    <w:p>
      <w:pPr>
        <w:snapToGrid w:val="0"/>
        <w:spacing w:line="400" w:lineRule="exact"/>
        <w:ind w:firstLine="640"/>
        <w:jc w:val="right"/>
        <w:rPr>
          <w:rFonts w:ascii="仿宋" w:hAnsi="仿宋" w:eastAsia="仿宋" w:cs="仿宋_GB2312"/>
          <w:sz w:val="32"/>
          <w:szCs w:val="32"/>
        </w:rPr>
      </w:pPr>
    </w:p>
    <w:p>
      <w:pPr>
        <w:snapToGrid w:val="0"/>
        <w:spacing w:line="400" w:lineRule="exact"/>
        <w:ind w:firstLine="640"/>
        <w:jc w:val="right"/>
        <w:rPr>
          <w:rFonts w:ascii="仿宋" w:hAnsi="仿宋" w:eastAsia="仿宋" w:cs="仿宋_GB2312"/>
          <w:sz w:val="32"/>
          <w:szCs w:val="32"/>
        </w:rPr>
      </w:pPr>
    </w:p>
    <w:p>
      <w:pPr>
        <w:snapToGrid w:val="0"/>
        <w:spacing w:line="400" w:lineRule="exact"/>
        <w:ind w:firstLine="640"/>
        <w:jc w:val="right"/>
        <w:rPr>
          <w:rFonts w:ascii="仿宋" w:hAnsi="仿宋" w:eastAsia="仿宋" w:cs="仿宋_GB2312"/>
          <w:sz w:val="32"/>
          <w:szCs w:val="32"/>
        </w:rPr>
      </w:pPr>
    </w:p>
    <w:p>
      <w:pPr>
        <w:snapToGrid w:val="0"/>
        <w:spacing w:line="400" w:lineRule="exact"/>
        <w:ind w:firstLine="640"/>
        <w:jc w:val="right"/>
        <w:rPr>
          <w:rFonts w:ascii="仿宋" w:hAnsi="仿宋" w:eastAsia="仿宋" w:cs="仿宋_GB2312"/>
          <w:sz w:val="32"/>
          <w:szCs w:val="32"/>
        </w:rPr>
      </w:pPr>
    </w:p>
    <w:p>
      <w:pPr>
        <w:snapToGrid w:val="0"/>
        <w:spacing w:line="400" w:lineRule="exact"/>
        <w:jc w:val="both"/>
        <w:rPr>
          <w:rFonts w:ascii="仿宋" w:hAnsi="仿宋" w:eastAsia="仿宋" w:cs="仿宋_GB2312"/>
          <w:sz w:val="32"/>
          <w:szCs w:val="32"/>
        </w:rPr>
      </w:pPr>
    </w:p>
    <w:p>
      <w:pPr>
        <w:snapToGrid w:val="0"/>
        <w:spacing w:line="400" w:lineRule="exact"/>
        <w:ind w:firstLine="640"/>
        <w:jc w:val="right"/>
        <w:rPr>
          <w:rFonts w:ascii="仿宋" w:hAnsi="仿宋" w:eastAsia="仿宋" w:cs="仿宋_GB2312"/>
          <w:sz w:val="32"/>
          <w:szCs w:val="32"/>
        </w:rPr>
      </w:pPr>
    </w:p>
    <w:p>
      <w:pPr>
        <w:snapToGrid w:val="0"/>
        <w:spacing w:line="400" w:lineRule="exact"/>
        <w:ind w:firstLine="640"/>
        <w:jc w:val="right"/>
        <w:rPr>
          <w:rFonts w:ascii="仿宋" w:hAnsi="仿宋" w:eastAsia="仿宋" w:cs="仿宋_GB2312"/>
          <w:sz w:val="32"/>
          <w:szCs w:val="32"/>
        </w:rPr>
      </w:pPr>
    </w:p>
    <w:p>
      <w:pPr>
        <w:snapToGrid w:val="0"/>
        <w:spacing w:line="400" w:lineRule="exact"/>
        <w:rPr>
          <w:rFonts w:ascii="仿宋" w:hAnsi="仿宋" w:eastAsia="仿宋" w:cs="仿宋_GB2312"/>
          <w:sz w:val="32"/>
          <w:szCs w:val="32"/>
        </w:rPr>
      </w:pPr>
      <w:r>
        <w:rPr>
          <w:rFonts w:hint="eastAsia" w:ascii="仿宋" w:hAnsi="仿宋" w:eastAsia="仿宋" w:cs="仿宋_GB2312"/>
          <w:sz w:val="32"/>
          <w:szCs w:val="32"/>
        </w:rPr>
        <w:t>（市场监督管理部门将依法向社会公开行政处罚决定信息）</w:t>
      </w:r>
    </w:p>
    <w:p>
      <w:pPr>
        <w:snapToGrid w:val="0"/>
        <w:spacing w:line="400" w:lineRule="exact"/>
        <w:ind w:firstLine="426" w:firstLineChars="150"/>
        <w:rPr>
          <w:rFonts w:ascii="仿宋" w:hAnsi="仿宋" w:eastAsia="仿宋" w:cs="Times New Roman"/>
          <w:color w:val="000000"/>
          <w:spacing w:val="-8"/>
          <w:sz w:val="30"/>
          <w:szCs w:val="30"/>
        </w:rPr>
      </w:pPr>
    </w:p>
    <w:p>
      <w:pPr>
        <w:snapToGrid w:val="0"/>
        <w:spacing w:line="400" w:lineRule="exact"/>
        <w:rPr>
          <w:rFonts w:ascii="仿宋" w:hAnsi="仿宋" w:eastAsia="仿宋" w:cs="Times New Roman"/>
          <w:b/>
          <w:bCs/>
          <w:color w:val="000000"/>
          <w:sz w:val="30"/>
          <w:szCs w:val="30"/>
        </w:rPr>
      </w:pPr>
      <w:r>
        <w:rPr>
          <w:rFonts w:ascii="仿宋" w:hAnsi="仿宋" w:eastAsia="仿宋"/>
        </w:rPr>
        <w:pict>
          <v:line id="_x0000_s2051" o:spid="_x0000_s2051" o:spt="20" style="position:absolute;left:0pt;margin-left:-3.85pt;margin-top:7.25pt;height:0.05pt;width:437.05pt;z-index:251659264;mso-width-relative:page;mso-height-relative:page;" coordsize="21600,21600">
            <v:path arrowok="t"/>
            <v:fill focussize="0,0"/>
            <v:stroke weight="1.25pt"/>
            <v:imagedata o:title=""/>
            <o:lock v:ext="edit"/>
          </v:line>
        </w:pict>
      </w:r>
    </w:p>
    <w:p>
      <w:pPr>
        <w:spacing w:line="400" w:lineRule="exact"/>
        <w:ind w:firstLine="450" w:firstLineChars="150"/>
        <w:rPr>
          <w:rFonts w:hint="eastAsia" w:ascii="仿宋" w:hAnsi="仿宋" w:eastAsia="仿宋" w:cs="仿宋_GB2312"/>
          <w:color w:val="000000"/>
          <w:sz w:val="30"/>
          <w:szCs w:val="30"/>
        </w:rPr>
      </w:pPr>
    </w:p>
    <w:p>
      <w:pPr>
        <w:spacing w:line="400" w:lineRule="exact"/>
        <w:ind w:firstLine="315" w:firstLineChars="150"/>
        <w:rPr>
          <w:rFonts w:ascii="仿宋" w:hAnsi="仿宋" w:eastAsia="仿宋" w:cs="Times New Roman"/>
          <w:color w:val="000000"/>
          <w:sz w:val="30"/>
          <w:szCs w:val="30"/>
        </w:rPr>
      </w:pPr>
      <w:r>
        <w:rPr>
          <w:rFonts w:ascii="仿宋" w:hAnsi="仿宋" w:eastAsia="仿宋"/>
        </w:rPr>
        <w:pict>
          <v:line id="_x0000_s2052" o:spid="_x0000_s2052" o:spt="20" style="position:absolute;left:0pt;margin-left:0pt;margin-top:1638.35pt;height:0.1pt;width:453.75pt;z-index:251659264;mso-width-relative:page;mso-height-relative:page;" coordsize="21600,21600">
            <v:path arrowok="t"/>
            <v:fill focussize="0,0"/>
            <v:stroke weight="0.737007874015748pt" endcap="square"/>
            <v:imagedata o:title=""/>
            <o:lock v:ext="edit"/>
          </v:line>
        </w:pict>
      </w:r>
      <w:r>
        <w:rPr>
          <w:rFonts w:hint="eastAsia" w:ascii="仿宋" w:hAnsi="仿宋" w:eastAsia="仿宋" w:cs="仿宋_GB2312"/>
          <w:color w:val="000000"/>
          <w:sz w:val="30"/>
          <w:szCs w:val="30"/>
        </w:rPr>
        <w:t>本文书一式</w:t>
      </w:r>
      <w:r>
        <w:rPr>
          <w:rFonts w:ascii="仿宋" w:hAnsi="仿宋" w:eastAsia="仿宋" w:cs="仿宋_GB2312"/>
          <w:color w:val="000000"/>
          <w:sz w:val="30"/>
          <w:szCs w:val="30"/>
        </w:rPr>
        <w:t xml:space="preserve"> </w:t>
      </w:r>
      <w:r>
        <w:rPr>
          <w:rFonts w:hint="eastAsia" w:ascii="仿宋" w:hAnsi="仿宋" w:eastAsia="仿宋" w:cs="仿宋_GB2312"/>
          <w:color w:val="000000"/>
          <w:sz w:val="30"/>
          <w:szCs w:val="30"/>
        </w:rPr>
        <w:t>叁</w:t>
      </w:r>
      <w:r>
        <w:rPr>
          <w:rFonts w:ascii="仿宋" w:hAnsi="仿宋" w:eastAsia="仿宋" w:cs="仿宋_GB2312"/>
          <w:color w:val="000000"/>
          <w:sz w:val="30"/>
          <w:szCs w:val="30"/>
        </w:rPr>
        <w:t xml:space="preserve"> </w:t>
      </w:r>
      <w:r>
        <w:rPr>
          <w:rFonts w:hint="eastAsia" w:ascii="仿宋" w:hAnsi="仿宋" w:eastAsia="仿宋" w:cs="仿宋_GB2312"/>
          <w:color w:val="000000"/>
          <w:sz w:val="30"/>
          <w:szCs w:val="30"/>
        </w:rPr>
        <w:t>份，</w:t>
      </w:r>
      <w:r>
        <w:rPr>
          <w:rFonts w:ascii="仿宋" w:hAnsi="仿宋" w:eastAsia="仿宋" w:cs="仿宋_GB2312"/>
          <w:color w:val="000000"/>
          <w:sz w:val="30"/>
          <w:szCs w:val="30"/>
        </w:rPr>
        <w:t xml:space="preserve"> </w:t>
      </w:r>
      <w:r>
        <w:rPr>
          <w:rFonts w:hint="eastAsia" w:ascii="仿宋" w:hAnsi="仿宋" w:eastAsia="仿宋" w:cs="仿宋_GB2312"/>
          <w:color w:val="000000"/>
          <w:sz w:val="30"/>
          <w:szCs w:val="30"/>
        </w:rPr>
        <w:t>一份送达，一份归档，一份留存</w:t>
      </w:r>
      <w:r>
        <w:rPr>
          <w:rFonts w:ascii="仿宋" w:hAnsi="仿宋" w:eastAsia="仿宋" w:cs="仿宋_GB2312"/>
          <w:color w:val="000000"/>
          <w:sz w:val="30"/>
          <w:szCs w:val="30"/>
        </w:rPr>
        <w:t xml:space="preserve">  </w:t>
      </w:r>
      <w:r>
        <w:rPr>
          <w:rFonts w:hint="eastAsia" w:ascii="仿宋" w:hAnsi="仿宋" w:eastAsia="仿宋" w:cs="仿宋_GB2312"/>
          <w:color w:val="000000"/>
          <w:sz w:val="30"/>
          <w:szCs w:val="30"/>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oNotDisplayPageBoundaries w:val="1"/>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938A9"/>
    <w:rsid w:val="000146A0"/>
    <w:rsid w:val="0001734E"/>
    <w:rsid w:val="00034705"/>
    <w:rsid w:val="00052F5A"/>
    <w:rsid w:val="00060F5F"/>
    <w:rsid w:val="000A0D18"/>
    <w:rsid w:val="000B20A8"/>
    <w:rsid w:val="000B2B94"/>
    <w:rsid w:val="000B3217"/>
    <w:rsid w:val="000B53D0"/>
    <w:rsid w:val="000B5EC8"/>
    <w:rsid w:val="000B67DB"/>
    <w:rsid w:val="000C5442"/>
    <w:rsid w:val="000D5226"/>
    <w:rsid w:val="000E3B2F"/>
    <w:rsid w:val="00113082"/>
    <w:rsid w:val="00131492"/>
    <w:rsid w:val="001356EF"/>
    <w:rsid w:val="001445AB"/>
    <w:rsid w:val="00151DC5"/>
    <w:rsid w:val="0016632B"/>
    <w:rsid w:val="001A7A73"/>
    <w:rsid w:val="001C1061"/>
    <w:rsid w:val="001C5EE5"/>
    <w:rsid w:val="001E3F95"/>
    <w:rsid w:val="002157DC"/>
    <w:rsid w:val="00246B2D"/>
    <w:rsid w:val="00252236"/>
    <w:rsid w:val="002565AC"/>
    <w:rsid w:val="0026010F"/>
    <w:rsid w:val="002809E1"/>
    <w:rsid w:val="002A3C85"/>
    <w:rsid w:val="002D1057"/>
    <w:rsid w:val="002D61B5"/>
    <w:rsid w:val="002E5986"/>
    <w:rsid w:val="0034092F"/>
    <w:rsid w:val="003434FA"/>
    <w:rsid w:val="0036021C"/>
    <w:rsid w:val="003938A9"/>
    <w:rsid w:val="00393C6E"/>
    <w:rsid w:val="003A0F81"/>
    <w:rsid w:val="003B1197"/>
    <w:rsid w:val="003F66C4"/>
    <w:rsid w:val="003F7D94"/>
    <w:rsid w:val="0044271B"/>
    <w:rsid w:val="00444B49"/>
    <w:rsid w:val="00447BF4"/>
    <w:rsid w:val="0046730D"/>
    <w:rsid w:val="004947ED"/>
    <w:rsid w:val="004B6840"/>
    <w:rsid w:val="004D5BFC"/>
    <w:rsid w:val="004F348E"/>
    <w:rsid w:val="00532F14"/>
    <w:rsid w:val="005379C8"/>
    <w:rsid w:val="006161F9"/>
    <w:rsid w:val="00640A46"/>
    <w:rsid w:val="00724FD9"/>
    <w:rsid w:val="00727E2C"/>
    <w:rsid w:val="00733E2E"/>
    <w:rsid w:val="00747F10"/>
    <w:rsid w:val="007847BD"/>
    <w:rsid w:val="007B31CD"/>
    <w:rsid w:val="007B3D20"/>
    <w:rsid w:val="00801C46"/>
    <w:rsid w:val="00831474"/>
    <w:rsid w:val="008731DB"/>
    <w:rsid w:val="008A4D06"/>
    <w:rsid w:val="008B687B"/>
    <w:rsid w:val="008C6443"/>
    <w:rsid w:val="008D18A3"/>
    <w:rsid w:val="009405D3"/>
    <w:rsid w:val="009479CD"/>
    <w:rsid w:val="00990A0A"/>
    <w:rsid w:val="009B4B1A"/>
    <w:rsid w:val="009C411A"/>
    <w:rsid w:val="009C50AD"/>
    <w:rsid w:val="00A60ABD"/>
    <w:rsid w:val="00A668D3"/>
    <w:rsid w:val="00AB20C4"/>
    <w:rsid w:val="00AB3865"/>
    <w:rsid w:val="00B04331"/>
    <w:rsid w:val="00B11CFB"/>
    <w:rsid w:val="00B32EED"/>
    <w:rsid w:val="00B350BB"/>
    <w:rsid w:val="00B372E6"/>
    <w:rsid w:val="00B65081"/>
    <w:rsid w:val="00B82EB2"/>
    <w:rsid w:val="00BA705F"/>
    <w:rsid w:val="00BE1A49"/>
    <w:rsid w:val="00BF32F8"/>
    <w:rsid w:val="00C22208"/>
    <w:rsid w:val="00C400B0"/>
    <w:rsid w:val="00C4617C"/>
    <w:rsid w:val="00C55FD7"/>
    <w:rsid w:val="00C57459"/>
    <w:rsid w:val="00CA43E5"/>
    <w:rsid w:val="00CC3525"/>
    <w:rsid w:val="00CE3B1C"/>
    <w:rsid w:val="00D2471A"/>
    <w:rsid w:val="00D455E6"/>
    <w:rsid w:val="00D70F87"/>
    <w:rsid w:val="00D7203D"/>
    <w:rsid w:val="00D73792"/>
    <w:rsid w:val="00DA7E69"/>
    <w:rsid w:val="00DC139D"/>
    <w:rsid w:val="00DD59A2"/>
    <w:rsid w:val="00DD5CB8"/>
    <w:rsid w:val="00DF6A46"/>
    <w:rsid w:val="00E0344E"/>
    <w:rsid w:val="00E15F7F"/>
    <w:rsid w:val="00E16F6D"/>
    <w:rsid w:val="00E328AF"/>
    <w:rsid w:val="00E37190"/>
    <w:rsid w:val="00E445D8"/>
    <w:rsid w:val="00E65B3D"/>
    <w:rsid w:val="00E74BDA"/>
    <w:rsid w:val="00E86BF8"/>
    <w:rsid w:val="00EC6453"/>
    <w:rsid w:val="00EC6C21"/>
    <w:rsid w:val="00EF2EFC"/>
    <w:rsid w:val="00EF4513"/>
    <w:rsid w:val="00EF7226"/>
    <w:rsid w:val="00F02E05"/>
    <w:rsid w:val="00F07A8D"/>
    <w:rsid w:val="00F27514"/>
    <w:rsid w:val="00F50CB1"/>
    <w:rsid w:val="00F830E3"/>
    <w:rsid w:val="00FB0FF9"/>
    <w:rsid w:val="00FC6934"/>
    <w:rsid w:val="055455A0"/>
    <w:rsid w:val="07CD18D8"/>
    <w:rsid w:val="1D771D97"/>
    <w:rsid w:val="1FAF4EE0"/>
    <w:rsid w:val="2E266CC3"/>
    <w:rsid w:val="351D5651"/>
    <w:rsid w:val="3594577F"/>
    <w:rsid w:val="3BCE5A48"/>
    <w:rsid w:val="3C5D3DB9"/>
    <w:rsid w:val="4A0D1509"/>
    <w:rsid w:val="4D132827"/>
    <w:rsid w:val="4EAD274A"/>
    <w:rsid w:val="63783BE2"/>
    <w:rsid w:val="66454817"/>
    <w:rsid w:val="693D76A8"/>
    <w:rsid w:val="6B1D2A9A"/>
    <w:rsid w:val="72835C1E"/>
    <w:rsid w:val="7B2675B8"/>
    <w:rsid w:val="7C9C3C9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0"/>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qFormat/>
    <w:uiPriority w:val="99"/>
    <w:pPr>
      <w:ind w:left="100" w:leftChars="2500"/>
    </w:pPr>
  </w:style>
  <w:style w:type="paragraph" w:styleId="3">
    <w:name w:val="Balloon Text"/>
    <w:basedOn w:val="1"/>
    <w:link w:val="9"/>
    <w:semiHidden/>
    <w:qFormat/>
    <w:uiPriority w:val="99"/>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日期 Char"/>
    <w:basedOn w:val="7"/>
    <w:link w:val="2"/>
    <w:semiHidden/>
    <w:qFormat/>
    <w:locked/>
    <w:uiPriority w:val="99"/>
  </w:style>
  <w:style w:type="character" w:customStyle="1" w:styleId="9">
    <w:name w:val="批注框文本 Char"/>
    <w:basedOn w:val="7"/>
    <w:link w:val="3"/>
    <w:semiHidden/>
    <w:qFormat/>
    <w:locked/>
    <w:uiPriority w:val="99"/>
    <w:rPr>
      <w:sz w:val="18"/>
      <w:szCs w:val="18"/>
    </w:rPr>
  </w:style>
  <w:style w:type="character" w:customStyle="1" w:styleId="10">
    <w:name w:val="页脚 Char"/>
    <w:basedOn w:val="7"/>
    <w:link w:val="4"/>
    <w:semiHidden/>
    <w:qFormat/>
    <w:locked/>
    <w:uiPriority w:val="99"/>
    <w:rPr>
      <w:sz w:val="18"/>
      <w:szCs w:val="18"/>
    </w:rPr>
  </w:style>
  <w:style w:type="character" w:customStyle="1" w:styleId="11">
    <w:name w:val="页眉 Char"/>
    <w:basedOn w:val="7"/>
    <w:link w:val="5"/>
    <w:semiHidden/>
    <w:qFormat/>
    <w:locked/>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F34CC7-4B78-4537-ACCD-B5D29D4359F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1047</Words>
  <Characters>1172</Characters>
  <Lines>12</Lines>
  <Paragraphs>3</Paragraphs>
  <TotalTime>3</TotalTime>
  <ScaleCrop>false</ScaleCrop>
  <LinksUpToDate>false</LinksUpToDate>
  <CharactersWithSpaces>1660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2019-06-12T02:21:00Z</dcterms:created>
  <dc:creator>吴清波</dc:creator>
  <cp:lastModifiedBy>施婉弘</cp:lastModifiedBy>
  <cp:lastPrinted>2021-08-16T03:23:00Z</cp:lastPrinted>
  <dcterms:modified xsi:type="dcterms:W3CDTF">2024-09-03T02:22:15Z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2DD704F92B444D14A6E6DB7372067C69</vt:lpwstr>
  </property>
</Properties>
</file>